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Uchwała Nr IX/137/2015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Rady Gminy Stężyca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24 listopada 2015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zmian uchwały budżetowej Gminy na rok 2015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 18 ust. 2 pkt 4, art. 51 ust. 1 ustawy z dnia 08 marca 1990 roku</w:t>
      </w:r>
      <w:r w:rsidRPr="00737F6A">
        <w:t> </w:t>
      </w:r>
      <w:r w:rsidRPr="00737F6A">
        <w:br/>
      </w:r>
      <w:r w:rsidRPr="00737F6A">
        <w:t>o samorządzie gminnym (Dz. U. t.j. z 2015r. poz. 1515) oraz art. 211 i art. 212 ustawy z dnia 27 sierpnia 2009 roku o finansach publicznych (Dz. U. z 2013r. poz. 885 z późn. zm.)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Rada Gminy Stężyca na wniosek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Wójta Gminy uchwala, co następuje: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§ 1. </w:t>
      </w:r>
      <w:r w:rsidRPr="00737F6A">
        <w:t>1. </w:t>
      </w:r>
      <w:r w:rsidRPr="00737F6A">
        <w:t>Zwiększa się dochody majątkowe budżetu Gminy o kwotę 400 000,00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tj. do kwoty 46 659 857,60 zł zgodnie z załącznikiem Nr 1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2. </w:t>
      </w:r>
      <w:r w:rsidRPr="00737F6A">
        <w:t>Zwiększa się wydatki bieżące budżetu Gminy o kwotę 10 711,00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oraz zwiększa się wydatki majątkowe budżetu Gminy o kwotę 400 000,00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i zmniejsza się wydatki bieżące budżetu Gminy o kwotę 10 711,00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tj. do kwoty 48 668 386,93 zł zgodnie z załącznikiem Nr 2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ab/>
      </w:r>
    </w:p>
    <w:p w:rsidR="00261A16" w:rsidRPr="00737F6A" w:rsidP="00737F6A">
      <w:pPr>
        <w:pStyle w:val="ARTartustawynprozporzdzenia"/>
      </w:pPr>
      <w:r w:rsidRPr="00737F6A">
        <w:t>§ 2. </w:t>
      </w:r>
      <w:r w:rsidRPr="00737F6A">
        <w:t>Dokonuje się zmian w wydatkach inwestycyjnych zgodnie z załącznikiem Nr 3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3. </w:t>
      </w:r>
      <w:r w:rsidRPr="00737F6A">
        <w:t>Uchwała wchodzi w życie z dniem podjęcia i podlega publikacji w Dzienniku Urzędowym Województwa Pomorskiego.</w:t>
      </w:r>
      <w:r w:rsidRPr="00737F6A">
        <w:t> </w:t>
      </w:r>
    </w:p>
    <w:p w:rsidR="00261A16" w:rsidRPr="00737F6A" w:rsidP="00737F6A">
      <w:pPr>
        <w:pStyle w:val="ARTartustawynprozporzdzeni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17"/>
        <w:gridCol w:w="45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ARTartustawynprozporzdzenia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TEKSTwTABELItekstzwcitympierwwierszem"/>
              <w:spacing w:before="100"/>
              <w:ind w:firstLine="0"/>
              <w:jc w:val="center"/>
            </w:pPr>
            <w:r w:rsidRPr="00737F6A">
              <w:t>Przewodniczący Rady Gminy</w:t>
            </w:r>
            <w:r w:rsidRPr="00737F6A">
              <w:br/>
            </w:r>
            <w:r w:rsidRPr="00737F6A">
              <w:br/>
            </w:r>
            <w:r w:rsidRPr="00737F6A">
              <w:t>S. Literski</w:t>
            </w:r>
          </w:p>
        </w:tc>
      </w:tr>
    </w:tbl>
    <w:p w:rsidR="00261A16" w:rsidRPr="00737F6A" w:rsidP="00737F6A">
      <w:pPr>
        <w:pStyle w:val="ARTartustawynprozporzdzenia"/>
      </w:pPr>
    </w:p>
    <w:p w:rsidR="00261A16" w:rsidRPr="00737F6A" w:rsidP="00737F6A">
      <w:pPr>
        <w:pStyle w:val="TEKSTZacznikido"/>
      </w:pPr>
      <w:r w:rsidRPr="00737F6A">
        <w:br w:type="page"/>
      </w:r>
      <w:r w:rsidRPr="00737F6A">
        <w:t>Załącznik Nr 1 do Uchwały Nr IX/137/2015</w:t>
      </w:r>
      <w:r w:rsidRPr="00737F6A">
        <w:t> </w:t>
      </w:r>
      <w:r w:rsidRPr="00737F6A">
        <w:br/>
      </w:r>
      <w:r w:rsidRPr="00737F6A">
        <w:t>Rady Gminy Stężyca</w:t>
      </w:r>
      <w:r w:rsidRPr="00737F6A">
        <w:t> </w:t>
      </w:r>
      <w:r w:rsidRPr="00737F6A">
        <w:br/>
      </w:r>
      <w:r w:rsidRPr="00737F6A">
        <w:t>z dnia 24 listopada 2015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DOCHODY BUDŻETU GMINY na 2015 rok</w:t>
      </w:r>
      <w:r w:rsidRPr="00737F6A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42"/>
        <w:gridCol w:w="652"/>
        <w:gridCol w:w="652"/>
        <w:gridCol w:w="1"/>
        <w:gridCol w:w="3288"/>
        <w:gridCol w:w="1"/>
        <w:gridCol w:w="1377"/>
        <w:gridCol w:w="1"/>
        <w:gridCol w:w="1377"/>
        <w:gridCol w:w="1"/>
        <w:gridCol w:w="137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fizyczna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1 192 527,99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1 592 527,99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92601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Obiekty sportowe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230 727,99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630 727,99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6297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Środki na dofinansowanie własnych inwestycji gmin (związków gmin), powiatów (związków powiatów), samorządów województw, pozyskane z innych źródeł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630 000,00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Razem: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46 259 857,60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46 659 857,60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</w:pPr>
      <w:bookmarkStart w:id="0" w:name="_GoBack"/>
      <w:bookmarkEnd w:id="0"/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2 do Uchwały Nr IX/137/2015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24 listopada 2015 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WYDATKI BUDŻETU GMINY na 2015 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42"/>
        <w:gridCol w:w="652"/>
        <w:gridCol w:w="652"/>
        <w:gridCol w:w="1"/>
        <w:gridCol w:w="3288"/>
        <w:gridCol w:w="1"/>
        <w:gridCol w:w="1377"/>
        <w:gridCol w:w="1"/>
        <w:gridCol w:w="1377"/>
        <w:gridCol w:w="1"/>
        <w:gridCol w:w="137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852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Pomoc społeczna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8 480 303,79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- 10 711,00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8 469 592,79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85202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Domy pomocy społecznej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1 448 047,80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- 10 711,00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1 437 336,80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4330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przez jednostki samorządu terytorialnego od innych jednostek samorządu terytorialnego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202 801,00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- 10 711,00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192 090,00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854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Edukacyjna opieka wychowawcza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564 336,00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10 711,00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575 047,00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85415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Pomoc materialna dla uczniów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175 500,00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10 711,00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186 211,00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3240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Stypendia dla uczniów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149 540,00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10 711,00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160 251,00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fizyczna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3 097 579,00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3 497 579,00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92601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Obiekty sportowe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805 221,50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1 205 221,50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6050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8"/>
                <w:u w:val="none"/>
              </w:rPr>
              <w:t>Razem:</w:t>
            </w:r>
            <w:r w:rsidRPr="00737F6A">
              <w:rPr>
                <w:b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48 268 386,93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48 668 386,93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3 do Uchwały Nr IX/137/2015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24 listopada 2015 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Załącznik inwestycyjny na 2015 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24"/>
        <w:gridCol w:w="643"/>
        <w:gridCol w:w="652"/>
        <w:gridCol w:w="3335"/>
        <w:gridCol w:w="1369"/>
        <w:gridCol w:w="1369"/>
        <w:gridCol w:w="137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fizyczna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2 183 114,92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2 583 114,92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92601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Obiekty sportowe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6050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1 132 000,00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Budowa stadionu lekkoatletycznego w Stężycy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8"/>
                <w:u w:val="none"/>
              </w:rPr>
              <w:t>Razem</w:t>
            </w:r>
            <w:r w:rsidRPr="00737F6A">
              <w:rPr>
                <w:b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9 760 636,57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10 160 636,57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sectPr w:rsidSect="001A7F15">
      <w:headerReference w:type="default" r:id="rId6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